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Default"/>
        <w:spacing w:line="360" w:lineRule="auto"/>
        <w:rPr>
          <w:rFonts w:ascii="Helvetica" w:cs="Helvetica" w:hAnsi="Helvetica" w:eastAsia="Helvetica"/>
          <w:color w:val="000000"/>
          <w:sz w:val="24"/>
          <w:szCs w:val="24"/>
          <w:u w:color="000000"/>
          <w:shd w:val="clear" w:color="auto" w:fill="ffffff"/>
        </w:rPr>
      </w:pPr>
      <w:r>
        <w:rPr>
          <w:rFonts w:ascii="Helvetica" w:hAnsi="Helvetica"/>
          <w:color w:val="000000"/>
          <w:sz w:val="24"/>
          <w:szCs w:val="24"/>
          <w:u w:color="000000"/>
          <w:shd w:val="clear" w:color="auto" w:fill="ffffff"/>
          <w:rtl w:val="0"/>
          <w:lang w:val="en-US"/>
        </w:rPr>
        <w:t>BMJ Opinion Editorial Team,</w:t>
      </w:r>
    </w:p>
    <w:p>
      <w:pPr>
        <w:pStyle w:val="Default"/>
        <w:spacing w:line="360" w:lineRule="auto"/>
        <w:rPr>
          <w:rFonts w:ascii="Helvetica" w:cs="Helvetica" w:hAnsi="Helvetica" w:eastAsia="Helvetica"/>
          <w:color w:val="000000"/>
          <w:sz w:val="24"/>
          <w:szCs w:val="24"/>
          <w:u w:color="000000"/>
          <w:shd w:val="clear" w:color="auto" w:fill="ffffff"/>
        </w:rPr>
      </w:pPr>
    </w:p>
    <w:p>
      <w:pPr>
        <w:pStyle w:val="Default"/>
        <w:spacing w:line="360" w:lineRule="auto"/>
        <w:rPr>
          <w:rStyle w:val="None"/>
          <w:rFonts w:ascii="Helvetica" w:cs="Helvetica" w:hAnsi="Helvetica" w:eastAsia="Helvetica"/>
          <w:color w:val="000000"/>
          <w:sz w:val="24"/>
          <w:szCs w:val="24"/>
          <w:u w:color="000000"/>
          <w:shd w:val="clear" w:color="auto" w:fill="ffffff"/>
        </w:rPr>
      </w:pPr>
      <w:r>
        <w:rPr>
          <w:rFonts w:ascii="Helvetica" w:hAnsi="Helvetica"/>
          <w:color w:val="000000"/>
          <w:sz w:val="24"/>
          <w:szCs w:val="24"/>
          <w:u w:color="000000"/>
          <w:shd w:val="clear" w:color="auto" w:fill="ffffff"/>
          <w:rtl w:val="0"/>
          <w:lang w:val="en-US"/>
        </w:rPr>
        <w:t xml:space="preserve">Regarding the recently published article, </w:t>
      </w:r>
      <w:r>
        <w:rPr>
          <w:rFonts w:ascii="Helvetica" w:hAnsi="Helvetica" w:hint="default"/>
          <w:color w:val="000000"/>
          <w:sz w:val="24"/>
          <w:szCs w:val="24"/>
          <w:u w:color="000000"/>
          <w:shd w:val="clear" w:color="auto" w:fill="ffffff"/>
          <w:rtl w:val="0"/>
          <w:lang w:val="en-US"/>
        </w:rPr>
        <w:t>‘</w:t>
      </w:r>
      <w:r>
        <w:rPr>
          <w:rFonts w:ascii="Helvetica" w:hAnsi="Helvetica"/>
          <w:color w:val="000000"/>
          <w:sz w:val="24"/>
          <w:szCs w:val="24"/>
          <w:u w:color="000000"/>
          <w:shd w:val="clear" w:color="auto" w:fill="ffffff"/>
          <w:rtl w:val="0"/>
          <w:lang w:val="en-US"/>
        </w:rPr>
        <w:t>Hydroxychloroquine or chloroquine with or without a macrolide for treatment of COVID-19: a multinational registry analysis</w:t>
      </w:r>
      <w:r>
        <w:rPr>
          <w:rFonts w:ascii="Helvetica" w:hAnsi="Helvetica" w:hint="default"/>
          <w:color w:val="000000"/>
          <w:sz w:val="24"/>
          <w:szCs w:val="24"/>
          <w:u w:color="000000"/>
          <w:shd w:val="clear" w:color="auto" w:fill="ffffff"/>
          <w:rtl w:val="0"/>
          <w:lang w:val="en-US"/>
        </w:rPr>
        <w:t>’</w:t>
      </w:r>
      <w:r>
        <w:rPr>
          <w:rFonts w:ascii="Helvetica" w:hAnsi="Helvetica"/>
          <w:color w:val="000000"/>
          <w:sz w:val="24"/>
          <w:szCs w:val="24"/>
          <w:u w:color="000000"/>
          <w:shd w:val="clear" w:color="auto" w:fill="ffffff"/>
          <w:rtl w:val="0"/>
          <w:lang w:val="en-US"/>
        </w:rPr>
        <w:t>, in the journal, The Lancet (</w:t>
      </w:r>
      <w:r>
        <w:rPr>
          <w:rStyle w:val="Hyperlink.0"/>
        </w:rPr>
        <w:fldChar w:fldCharType="begin" w:fldLock="0"/>
      </w:r>
      <w:r>
        <w:rPr>
          <w:rStyle w:val="Hyperlink.0"/>
        </w:rPr>
        <w:instrText xml:space="preserve"> HYPERLINK "https://www.thelancet.com/action/showPdf?pii=S0140-6736%252820%252931180-6"</w:instrText>
      </w:r>
      <w:r>
        <w:rPr>
          <w:rStyle w:val="Hyperlink.0"/>
        </w:rPr>
        <w:fldChar w:fldCharType="separate" w:fldLock="0"/>
      </w:r>
      <w:r>
        <w:rPr>
          <w:rStyle w:val="Hyperlink.0"/>
          <w:rtl w:val="0"/>
          <w:lang w:val="en-US"/>
        </w:rPr>
        <w:t>https://www.thelancet.com/action/showPdf?pii=S0140-6736%2820%2931180-6</w:t>
      </w:r>
      <w:r>
        <w:rPr/>
        <w:fldChar w:fldCharType="end" w:fldLock="0"/>
      </w:r>
      <w:r>
        <w:rPr>
          <w:rStyle w:val="None"/>
          <w:rFonts w:ascii="Helvetica" w:hAnsi="Helvetica"/>
          <w:color w:val="000000"/>
          <w:sz w:val="24"/>
          <w:szCs w:val="24"/>
          <w:u w:color="000000"/>
          <w:shd w:val="clear" w:color="auto" w:fill="ffffff"/>
          <w:rtl w:val="0"/>
          <w:lang w:val="en-US"/>
        </w:rPr>
        <w:t>),  it is hard to reconcile the authors</w:t>
      </w:r>
      <w:r>
        <w:rPr>
          <w:rStyle w:val="None"/>
          <w:rFonts w:ascii="Helvetica" w:hAnsi="Helvetica" w:hint="default"/>
          <w:color w:val="000000"/>
          <w:sz w:val="24"/>
          <w:szCs w:val="24"/>
          <w:u w:color="000000"/>
          <w:shd w:val="clear" w:color="auto" w:fill="ffffff"/>
          <w:rtl w:val="0"/>
          <w:lang w:val="en-US"/>
        </w:rPr>
        <w:t xml:space="preserve">’ </w:t>
      </w:r>
      <w:r>
        <w:rPr>
          <w:rStyle w:val="None"/>
          <w:rFonts w:ascii="Helvetica" w:hAnsi="Helvetica"/>
          <w:color w:val="000000"/>
          <w:sz w:val="24"/>
          <w:szCs w:val="24"/>
          <w:u w:color="000000"/>
          <w:shd w:val="clear" w:color="auto" w:fill="ffffff"/>
          <w:rtl w:val="0"/>
          <w:lang w:val="en-US"/>
        </w:rPr>
        <w:t xml:space="preserve">interpretation of, </w:t>
      </w:r>
      <w:r>
        <w:rPr>
          <w:rStyle w:val="None"/>
          <w:rFonts w:ascii="Helvetica" w:hAnsi="Helvetica" w:hint="default"/>
          <w:color w:val="000000"/>
          <w:sz w:val="24"/>
          <w:szCs w:val="24"/>
          <w:u w:color="000000"/>
          <w:shd w:val="clear" w:color="auto" w:fill="ffffff"/>
          <w:rtl w:val="0"/>
          <w:lang w:val="en-US"/>
        </w:rPr>
        <w:t>‘</w:t>
      </w:r>
      <w:r>
        <w:rPr>
          <w:rStyle w:val="None"/>
          <w:rFonts w:ascii="Helvetica" w:hAnsi="Helvetica"/>
          <w:i w:val="1"/>
          <w:iCs w:val="1"/>
          <w:color w:val="000000"/>
          <w:sz w:val="24"/>
          <w:szCs w:val="24"/>
          <w:u w:color="000000"/>
          <w:shd w:val="clear" w:color="auto" w:fill="ffffff"/>
          <w:rtl w:val="0"/>
          <w:lang w:val="en-US"/>
        </w:rPr>
        <w:t>Each of these drug regimens was associated with decreased in-hospital survival and an increased frequency of ventricular arrhythmias when used for treatment of COVID-19</w:t>
      </w:r>
      <w:r>
        <w:rPr>
          <w:rStyle w:val="None"/>
          <w:rFonts w:ascii="Helvetica" w:hAnsi="Helvetica" w:hint="default"/>
          <w:i w:val="1"/>
          <w:iCs w:val="1"/>
          <w:color w:val="000000"/>
          <w:sz w:val="24"/>
          <w:szCs w:val="24"/>
          <w:u w:color="000000"/>
          <w:shd w:val="clear" w:color="auto" w:fill="ffffff"/>
          <w:rtl w:val="0"/>
          <w:lang w:val="en-US"/>
        </w:rPr>
        <w:t>’</w:t>
      </w:r>
      <w:r>
        <w:rPr>
          <w:rStyle w:val="None"/>
          <w:rFonts w:ascii="Helvetica" w:hAnsi="Helvetica"/>
          <w:color w:val="000000"/>
          <w:sz w:val="24"/>
          <w:szCs w:val="24"/>
          <w:u w:color="000000"/>
          <w:shd w:val="clear" w:color="auto" w:fill="ffffff"/>
          <w:rtl w:val="0"/>
          <w:lang w:val="en-US"/>
        </w:rPr>
        <w:t>, with these data presented.</w:t>
      </w:r>
    </w:p>
    <w:p>
      <w:pPr>
        <w:pStyle w:val="Default"/>
        <w:spacing w:line="360" w:lineRule="auto"/>
        <w:rPr>
          <w:rStyle w:val="None"/>
          <w:rFonts w:ascii="Helvetica" w:cs="Helvetica" w:hAnsi="Helvetica" w:eastAsia="Helvetica"/>
          <w:color w:val="000000"/>
          <w:sz w:val="24"/>
          <w:szCs w:val="24"/>
          <w:u w:color="000000"/>
          <w:shd w:val="clear" w:color="auto" w:fill="ffffff"/>
        </w:rPr>
      </w:pPr>
    </w:p>
    <w:p>
      <w:pPr>
        <w:pStyle w:val="Default"/>
        <w:spacing w:line="360" w:lineRule="auto"/>
        <w:rPr>
          <w:rStyle w:val="None"/>
          <w:rFonts w:ascii="Helvetica" w:cs="Helvetica" w:hAnsi="Helvetica" w:eastAsia="Helvetica"/>
          <w:color w:val="000000"/>
          <w:sz w:val="24"/>
          <w:szCs w:val="24"/>
          <w:u w:color="000000"/>
          <w:shd w:val="clear" w:color="auto" w:fill="ffffff"/>
        </w:rPr>
      </w:pPr>
      <w:r>
        <w:rPr>
          <w:rStyle w:val="None"/>
          <w:rFonts w:ascii="Helvetica" w:hAnsi="Helvetica"/>
          <w:color w:val="000000"/>
          <w:sz w:val="24"/>
          <w:szCs w:val="24"/>
          <w:u w:color="000000"/>
          <w:shd w:val="clear" w:color="auto" w:fill="ffffff"/>
          <w:rtl w:val="0"/>
          <w:lang w:val="en-US"/>
        </w:rPr>
        <w:t>The authors of this study have provided information as to baseline disease severity, one assumes, at the time of treatment and within 48h of a confirmed SARS-CoV-2 RNA detection and according to WHO guidelines. This information is reproduced in Table 1 below:</w:t>
      </w:r>
    </w:p>
    <w:p>
      <w:pPr>
        <w:pStyle w:val="Default"/>
        <w:spacing w:line="360" w:lineRule="auto"/>
        <w:rPr>
          <w:rStyle w:val="None"/>
          <w:rFonts w:ascii="Helvetica" w:cs="Helvetica" w:hAnsi="Helvetica" w:eastAsia="Helvetica"/>
          <w:color w:val="000000"/>
          <w:sz w:val="24"/>
          <w:szCs w:val="24"/>
          <w:u w:color="000000"/>
          <w:shd w:val="clear" w:color="auto" w:fill="ffffff"/>
        </w:rPr>
      </w:pPr>
    </w:p>
    <w:tbl>
      <w:tblPr>
        <w:tblW w:w="9632"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adfff"/>
        <w:tblLayout w:type="fixed"/>
      </w:tblPr>
      <w:tblGrid>
        <w:gridCol w:w="1605"/>
        <w:gridCol w:w="1605"/>
        <w:gridCol w:w="1606"/>
        <w:gridCol w:w="1605"/>
        <w:gridCol w:w="1605"/>
        <w:gridCol w:w="1606"/>
      </w:tblGrid>
      <w:tr>
        <w:tblPrEx>
          <w:shd w:val="clear" w:color="auto" w:fill="cadfff"/>
        </w:tblPrEx>
        <w:trPr>
          <w:trHeight w:val="967" w:hRule="atLeast"/>
        </w:trPr>
        <w:tc>
          <w:tcPr>
            <w:tcW w:type="dxa" w:w="1605"/>
            <w:tcBorders>
              <w:top w:val="single" w:color="000000" w:sz="2" w:space="0" w:shadow="0" w:frame="0"/>
              <w:left w:val="single" w:color="000000" w:sz="2" w:space="0" w:shadow="0" w:frame="0"/>
              <w:bottom w:val="single" w:color="000000" w:sz="4" w:space="0" w:shadow="0" w:frame="0"/>
              <w:right w:val="single" w:color="000000" w:sz="2" w:space="0" w:shadow="0" w:frame="0"/>
            </w:tcBorders>
            <w:shd w:val="clear" w:color="auto" w:fill="bdc0bf"/>
            <w:tcMar>
              <w:top w:type="dxa" w:w="80"/>
              <w:left w:type="dxa" w:w="80"/>
              <w:bottom w:type="dxa" w:w="80"/>
              <w:right w:type="dxa" w:w="80"/>
            </w:tcMar>
            <w:vAlign w:val="top"/>
          </w:tcPr>
          <w:p>
            <w:pPr>
              <w:pStyle w:val="Table Style 1"/>
            </w:pPr>
            <w:r>
              <w:rPr>
                <w:rStyle w:val="None"/>
                <w:rtl w:val="0"/>
                <w:lang w:val="fr-FR"/>
              </w:rPr>
              <w:t>Table 1</w:t>
            </w:r>
          </w:p>
        </w:tc>
        <w:tc>
          <w:tcPr>
            <w:tcW w:type="dxa" w:w="1605"/>
            <w:tcBorders>
              <w:top w:val="single" w:color="000000" w:sz="2" w:space="0" w:shadow="0" w:frame="0"/>
              <w:left w:val="single" w:color="000000" w:sz="2" w:space="0" w:shadow="0" w:frame="0"/>
              <w:bottom w:val="single" w:color="000000" w:sz="4" w:space="0" w:shadow="0" w:frame="0"/>
              <w:right w:val="single" w:color="000000" w:sz="2" w:space="0" w:shadow="0" w:frame="0"/>
            </w:tcBorders>
            <w:shd w:val="clear" w:color="auto" w:fill="bdc0bf"/>
            <w:tcMar>
              <w:top w:type="dxa" w:w="80"/>
              <w:left w:type="dxa" w:w="80"/>
              <w:bottom w:type="dxa" w:w="80"/>
              <w:right w:type="dxa" w:w="80"/>
            </w:tcMar>
            <w:vAlign w:val="top"/>
          </w:tcPr>
          <w:p>
            <w:pPr>
              <w:pStyle w:val="Table Style 1"/>
            </w:pPr>
            <w:r>
              <w:rPr>
                <w:rStyle w:val="None"/>
                <w:rtl w:val="0"/>
              </w:rPr>
              <w:t>Control (n=81144)</w:t>
            </w:r>
          </w:p>
        </w:tc>
        <w:tc>
          <w:tcPr>
            <w:tcW w:type="dxa" w:w="1606"/>
            <w:tcBorders>
              <w:top w:val="single" w:color="000000" w:sz="2" w:space="0" w:shadow="0" w:frame="0"/>
              <w:left w:val="single" w:color="000000" w:sz="2" w:space="0" w:shadow="0" w:frame="0"/>
              <w:bottom w:val="single" w:color="000000" w:sz="4" w:space="0" w:shadow="0" w:frame="0"/>
              <w:right w:val="single" w:color="000000" w:sz="2" w:space="0" w:shadow="0" w:frame="0"/>
            </w:tcBorders>
            <w:shd w:val="clear" w:color="auto" w:fill="bdc0bf"/>
            <w:tcMar>
              <w:top w:type="dxa" w:w="80"/>
              <w:left w:type="dxa" w:w="80"/>
              <w:bottom w:type="dxa" w:w="80"/>
              <w:right w:type="dxa" w:w="80"/>
            </w:tcMar>
            <w:vAlign w:val="top"/>
          </w:tcPr>
          <w:p>
            <w:pPr>
              <w:pStyle w:val="Table Style 1"/>
            </w:pPr>
            <w:r>
              <w:rPr>
                <w:rStyle w:val="None"/>
                <w:rtl w:val="0"/>
                <w:lang w:val="es-ES_tradnl"/>
              </w:rPr>
              <w:t>Chloroquine (n=1868)</w:t>
            </w:r>
          </w:p>
        </w:tc>
        <w:tc>
          <w:tcPr>
            <w:tcW w:type="dxa" w:w="1605"/>
            <w:tcBorders>
              <w:top w:val="single" w:color="000000" w:sz="2" w:space="0" w:shadow="0" w:frame="0"/>
              <w:left w:val="single" w:color="000000" w:sz="2" w:space="0" w:shadow="0" w:frame="0"/>
              <w:bottom w:val="single" w:color="000000" w:sz="4" w:space="0" w:shadow="0" w:frame="0"/>
              <w:right w:val="single" w:color="000000" w:sz="2" w:space="0" w:shadow="0" w:frame="0"/>
            </w:tcBorders>
            <w:shd w:val="clear" w:color="auto" w:fill="bdc0bf"/>
            <w:tcMar>
              <w:top w:type="dxa" w:w="80"/>
              <w:left w:type="dxa" w:w="80"/>
              <w:bottom w:type="dxa" w:w="80"/>
              <w:right w:type="dxa" w:w="80"/>
            </w:tcMar>
            <w:vAlign w:val="top"/>
          </w:tcPr>
          <w:p>
            <w:pPr>
              <w:pStyle w:val="Table Style 1"/>
            </w:pPr>
            <w:r>
              <w:rPr>
                <w:rStyle w:val="None"/>
                <w:rtl w:val="0"/>
                <w:lang w:val="it-IT"/>
              </w:rPr>
              <w:t>Chloroquine + macrolide (n=3783)</w:t>
            </w:r>
          </w:p>
        </w:tc>
        <w:tc>
          <w:tcPr>
            <w:tcW w:type="dxa" w:w="1605"/>
            <w:tcBorders>
              <w:top w:val="single" w:color="000000" w:sz="2" w:space="0" w:shadow="0" w:frame="0"/>
              <w:left w:val="single" w:color="000000" w:sz="2" w:space="0" w:shadow="0" w:frame="0"/>
              <w:bottom w:val="single" w:color="000000" w:sz="4" w:space="0" w:shadow="0" w:frame="0"/>
              <w:right w:val="single" w:color="000000" w:sz="2" w:space="0" w:shadow="0" w:frame="0"/>
            </w:tcBorders>
            <w:shd w:val="clear" w:color="auto" w:fill="bdc0bf"/>
            <w:tcMar>
              <w:top w:type="dxa" w:w="80"/>
              <w:left w:type="dxa" w:w="80"/>
              <w:bottom w:type="dxa" w:w="80"/>
              <w:right w:type="dxa" w:w="80"/>
            </w:tcMar>
            <w:vAlign w:val="top"/>
          </w:tcPr>
          <w:p>
            <w:pPr>
              <w:pStyle w:val="Table Style 1"/>
              <w:rPr>
                <w:rStyle w:val="None"/>
              </w:rPr>
            </w:pPr>
            <w:r>
              <w:rPr>
                <w:rStyle w:val="None"/>
                <w:rtl w:val="0"/>
              </w:rPr>
              <w:t xml:space="preserve">Hydroxychloro-quine </w:t>
            </w:r>
          </w:p>
          <w:p>
            <w:pPr>
              <w:pStyle w:val="Table Style 1"/>
              <w:bidi w:val="0"/>
              <w:ind w:left="0" w:right="0" w:firstLine="0"/>
              <w:jc w:val="left"/>
              <w:rPr>
                <w:rtl w:val="0"/>
              </w:rPr>
            </w:pPr>
            <w:r>
              <w:rPr>
                <w:rStyle w:val="None"/>
                <w:rtl w:val="0"/>
              </w:rPr>
              <w:t>(n=3016</w:t>
            </w:r>
          </w:p>
        </w:tc>
        <w:tc>
          <w:tcPr>
            <w:tcW w:type="dxa" w:w="1605"/>
            <w:tcBorders>
              <w:top w:val="single" w:color="000000" w:sz="2" w:space="0" w:shadow="0" w:frame="0"/>
              <w:left w:val="single" w:color="000000" w:sz="2" w:space="0" w:shadow="0" w:frame="0"/>
              <w:bottom w:val="single" w:color="000000" w:sz="4" w:space="0" w:shadow="0" w:frame="0"/>
              <w:right w:val="single" w:color="000000" w:sz="2" w:space="0" w:shadow="0" w:frame="0"/>
            </w:tcBorders>
            <w:shd w:val="clear" w:color="auto" w:fill="bdc0bf"/>
            <w:tcMar>
              <w:top w:type="dxa" w:w="80"/>
              <w:left w:type="dxa" w:w="80"/>
              <w:bottom w:type="dxa" w:w="80"/>
              <w:right w:type="dxa" w:w="80"/>
            </w:tcMar>
            <w:vAlign w:val="top"/>
          </w:tcPr>
          <w:p>
            <w:pPr>
              <w:pStyle w:val="Table Style 1"/>
            </w:pPr>
            <w:r>
              <w:rPr>
                <w:rStyle w:val="None"/>
                <w:rtl w:val="0"/>
              </w:rPr>
              <w:t>Hydroxychloro-quine +macrolide (n=6221)</w:t>
            </w:r>
          </w:p>
        </w:tc>
      </w:tr>
      <w:tr>
        <w:tblPrEx>
          <w:shd w:val="clear" w:color="auto" w:fill="cadfff"/>
        </w:tblPrEx>
        <w:trPr>
          <w:trHeight w:val="494" w:hRule="atLeast"/>
        </w:trPr>
        <w:tc>
          <w:tcPr>
            <w:tcW w:type="dxa" w:w="9632"/>
            <w:gridSpan w:val="6"/>
            <w:tcBorders>
              <w:top w:val="single" w:color="000000" w:sz="4" w:space="0" w:shadow="0" w:frame="0"/>
              <w:left w:val="single" w:color="000000" w:sz="2" w:space="0" w:shadow="0" w:frame="0"/>
              <w:bottom w:val="single" w:color="000000" w:sz="4" w:space="0" w:shadow="0" w:frame="0"/>
              <w:right w:val="single" w:color="000000" w:sz="2" w:space="0" w:shadow="0" w:frame="0"/>
            </w:tcBorders>
            <w:shd w:val="clear" w:color="auto" w:fill="bdc0bf"/>
            <w:tcMar>
              <w:top w:type="dxa" w:w="80"/>
              <w:left w:type="dxa" w:w="80"/>
              <w:bottom w:type="dxa" w:w="80"/>
              <w:right w:type="dxa" w:w="80"/>
            </w:tcMar>
            <w:vAlign w:val="top"/>
          </w:tcPr>
          <w:p>
            <w:pPr>
              <w:pStyle w:val="Table Style 1"/>
              <w:rPr>
                <w:rStyle w:val="None"/>
              </w:rPr>
            </w:pPr>
            <w:r>
              <w:rPr>
                <w:rStyle w:val="None"/>
                <w:rtl w:val="0"/>
                <w:lang w:val="en-US"/>
              </w:rPr>
              <w:t xml:space="preserve">Baseline disease </w:t>
            </w:r>
          </w:p>
          <w:p>
            <w:pPr>
              <w:pStyle w:val="Table Style 1"/>
              <w:bidi w:val="0"/>
              <w:ind w:left="0" w:right="0" w:firstLine="0"/>
              <w:jc w:val="left"/>
              <w:rPr>
                <w:rtl w:val="0"/>
              </w:rPr>
            </w:pPr>
            <w:r>
              <w:rPr>
                <w:rStyle w:val="None"/>
                <w:rtl w:val="0"/>
              </w:rPr>
              <w:t>severity</w:t>
            </w:r>
          </w:p>
        </w:tc>
      </w:tr>
      <w:tr>
        <w:tblPrEx>
          <w:shd w:val="clear" w:color="auto" w:fill="cadfff"/>
        </w:tblPrEx>
        <w:trPr>
          <w:trHeight w:val="305" w:hRule="atLeast"/>
        </w:trPr>
        <w:tc>
          <w:tcPr>
            <w:tcW w:type="dxa" w:w="1605"/>
            <w:tcBorders>
              <w:top w:val="single" w:color="000000" w:sz="4" w:space="0" w:shadow="0" w:frame="0"/>
              <w:left w:val="single" w:color="000000" w:sz="2" w:space="0" w:shadow="0" w:frame="0"/>
              <w:bottom w:val="single" w:color="000000" w:sz="2" w:space="0" w:shadow="0" w:frame="0"/>
              <w:right w:val="single" w:color="000000" w:sz="4" w:space="0" w:shadow="0" w:frame="0"/>
            </w:tcBorders>
            <w:shd w:val="clear" w:color="auto" w:fill="e2e4e3"/>
            <w:tcMar>
              <w:top w:type="dxa" w:w="80"/>
              <w:left w:type="dxa" w:w="80"/>
              <w:bottom w:type="dxa" w:w="80"/>
              <w:right w:type="dxa" w:w="80"/>
            </w:tcMar>
            <w:vAlign w:val="top"/>
          </w:tcPr>
          <w:p>
            <w:pPr>
              <w:pStyle w:val="Table Style 1"/>
            </w:pPr>
            <w:r>
              <w:rPr>
                <w:rStyle w:val="None"/>
                <w:rtl w:val="0"/>
              </w:rPr>
              <w:t>qSOFA &lt;1</w:t>
            </w:r>
          </w:p>
        </w:tc>
        <w:tc>
          <w:tcPr>
            <w:tcW w:type="dxa" w:w="1605"/>
            <w:tcBorders>
              <w:top w:val="single" w:color="000000" w:sz="4"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pPr>
            <w:r>
              <w:rPr>
                <w:rStyle w:val="None"/>
                <w:rtl w:val="0"/>
              </w:rPr>
              <w:t>67316 (83.0%)</w:t>
            </w:r>
          </w:p>
        </w:tc>
        <w:tc>
          <w:tcPr>
            <w:tcW w:type="dxa" w:w="1606"/>
            <w:tcBorders>
              <w:top w:val="single" w:color="000000" w:sz="4"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pPr>
            <w:r>
              <w:rPr>
                <w:rStyle w:val="None"/>
                <w:rtl w:val="0"/>
              </w:rPr>
              <w:t>1530 (81.9%)</w:t>
            </w:r>
          </w:p>
        </w:tc>
        <w:tc>
          <w:tcPr>
            <w:tcW w:type="dxa" w:w="1605"/>
            <w:tcBorders>
              <w:top w:val="single" w:color="000000" w:sz="4"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pPr>
            <w:r>
              <w:rPr>
                <w:rStyle w:val="None"/>
                <w:rtl w:val="0"/>
              </w:rPr>
              <w:t>3051 (80.7%)</w:t>
            </w:r>
          </w:p>
        </w:tc>
        <w:tc>
          <w:tcPr>
            <w:tcW w:type="dxa" w:w="1605"/>
            <w:tcBorders>
              <w:top w:val="single" w:color="000000" w:sz="4"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pPr>
            <w:r>
              <w:rPr>
                <w:rStyle w:val="None"/>
                <w:rtl w:val="0"/>
              </w:rPr>
              <w:t>2477 (82.1)</w:t>
            </w:r>
          </w:p>
        </w:tc>
        <w:tc>
          <w:tcPr>
            <w:tcW w:type="dxa" w:w="1605"/>
            <w:tcBorders>
              <w:top w:val="single" w:color="000000" w:sz="4"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pPr>
            <w:r>
              <w:rPr>
                <w:rStyle w:val="None"/>
                <w:rtl w:val="0"/>
              </w:rPr>
              <w:t>4994 (80.3%)</w:t>
            </w:r>
          </w:p>
        </w:tc>
      </w:tr>
      <w:tr>
        <w:tblPrEx>
          <w:shd w:val="clear" w:color="auto" w:fill="cadfff"/>
        </w:tblPrEx>
        <w:trPr>
          <w:trHeight w:val="300" w:hRule="atLeast"/>
        </w:trPr>
        <w:tc>
          <w:tcPr>
            <w:tcW w:type="dxa" w:w="1605"/>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e2e4e3"/>
            <w:tcMar>
              <w:top w:type="dxa" w:w="80"/>
              <w:left w:type="dxa" w:w="80"/>
              <w:bottom w:type="dxa" w:w="80"/>
              <w:right w:type="dxa" w:w="80"/>
            </w:tcMar>
            <w:vAlign w:val="top"/>
          </w:tcPr>
          <w:p>
            <w:pPr>
              <w:pStyle w:val="Table Style 1"/>
            </w:pPr>
            <w:r>
              <w:rPr>
                <w:rStyle w:val="None"/>
                <w:rtl w:val="0"/>
                <w:lang w:val="en-US"/>
              </w:rPr>
              <w:t xml:space="preserve"> SPO2 &lt; 94%</w:t>
            </w:r>
          </w:p>
        </w:tc>
        <w:tc>
          <w:tcPr>
            <w:tcW w:type="dxa" w:w="160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w:pPr>
            <w:r>
              <w:rPr>
                <w:rStyle w:val="None"/>
                <w:rtl w:val="0"/>
              </w:rPr>
              <w:t>7721 (9.5%)</w:t>
            </w:r>
          </w:p>
        </w:tc>
        <w:tc>
          <w:tcPr>
            <w:tcW w:type="dxa" w:w="16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w:pPr>
            <w:r>
              <w:rPr>
                <w:rStyle w:val="None"/>
                <w:rtl w:val="0"/>
              </w:rPr>
              <w:t>209 (11.2%)</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w:pPr>
            <w:r>
              <w:rPr>
                <w:rStyle w:val="None"/>
                <w:rtl w:val="0"/>
              </w:rPr>
              <w:t>413 (10.9%)</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w:pPr>
            <w:r>
              <w:rPr>
                <w:rStyle w:val="None"/>
                <w:rtl w:val="0"/>
              </w:rPr>
              <w:t>323 (10.7%)</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w:pPr>
            <w:r>
              <w:rPr>
                <w:rStyle w:val="None"/>
                <w:rtl w:val="0"/>
              </w:rPr>
              <w:t>651 (10.5%)</w:t>
            </w:r>
          </w:p>
        </w:tc>
      </w:tr>
      <w:tr>
        <w:tblPrEx>
          <w:shd w:val="clear" w:color="auto" w:fill="cadfff"/>
        </w:tblPrEx>
        <w:trPr>
          <w:trHeight w:val="300" w:hRule="atLeast"/>
        </w:trPr>
        <w:tc>
          <w:tcPr>
            <w:tcW w:type="dxa" w:w="1605"/>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e2e4e3"/>
            <w:tcMar>
              <w:top w:type="dxa" w:w="80"/>
              <w:left w:type="dxa" w:w="80"/>
              <w:bottom w:type="dxa" w:w="80"/>
              <w:right w:type="dxa" w:w="80"/>
            </w:tcMar>
            <w:vAlign w:val="top"/>
          </w:tcPr>
          <w:p/>
        </w:tc>
        <w:tc>
          <w:tcPr>
            <w:tcW w:type="dxa" w:w="160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6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bl>
    <w:p>
      <w:pPr>
        <w:pStyle w:val="Default"/>
        <w:widowControl w:val="0"/>
        <w:ind w:left="108" w:hanging="108"/>
        <w:rPr>
          <w:rStyle w:val="None"/>
          <w:rFonts w:ascii="Helvetica" w:cs="Helvetica" w:hAnsi="Helvetica" w:eastAsia="Helvetica"/>
          <w:color w:val="000000"/>
          <w:sz w:val="24"/>
          <w:szCs w:val="24"/>
          <w:u w:color="000000"/>
          <w:shd w:val="clear" w:color="auto" w:fill="ffffff"/>
        </w:rPr>
      </w:pPr>
    </w:p>
    <w:p>
      <w:pPr>
        <w:pStyle w:val="Default"/>
        <w:spacing w:line="360" w:lineRule="auto"/>
        <w:rPr>
          <w:rStyle w:val="None"/>
          <w:rFonts w:ascii="Helvetica" w:cs="Helvetica" w:hAnsi="Helvetica" w:eastAsia="Helvetica"/>
          <w:color w:val="000000"/>
          <w:sz w:val="24"/>
          <w:szCs w:val="24"/>
          <w:u w:color="000000"/>
          <w:shd w:val="clear" w:color="auto" w:fill="ffffff"/>
        </w:rPr>
      </w:pPr>
    </w:p>
    <w:p>
      <w:pPr>
        <w:pStyle w:val="Default"/>
        <w:spacing w:line="360" w:lineRule="auto"/>
        <w:rPr>
          <w:rStyle w:val="None"/>
          <w:rFonts w:ascii="Helvetica" w:cs="Helvetica" w:hAnsi="Helvetica" w:eastAsia="Helvetica"/>
          <w:color w:val="000000"/>
          <w:sz w:val="24"/>
          <w:szCs w:val="24"/>
          <w:u w:color="000000"/>
          <w:shd w:val="clear" w:color="auto" w:fill="ffffff"/>
        </w:rPr>
      </w:pPr>
    </w:p>
    <w:p>
      <w:pPr>
        <w:pStyle w:val="Default"/>
        <w:spacing w:line="360" w:lineRule="auto"/>
        <w:rPr>
          <w:rStyle w:val="None"/>
          <w:rFonts w:ascii="Helvetica" w:cs="Helvetica" w:hAnsi="Helvetica" w:eastAsia="Helvetica"/>
          <w:color w:val="000000"/>
          <w:sz w:val="24"/>
          <w:szCs w:val="24"/>
          <w:u w:color="000000"/>
          <w:shd w:val="clear" w:color="auto" w:fill="ffffff"/>
        </w:rPr>
      </w:pPr>
      <w:r>
        <w:rPr>
          <w:rStyle w:val="None"/>
          <w:rFonts w:ascii="Helvetica" w:hAnsi="Helvetica"/>
          <w:color w:val="000000"/>
          <w:sz w:val="24"/>
          <w:szCs w:val="24"/>
          <w:u w:color="000000"/>
          <w:shd w:val="clear" w:color="auto" w:fill="ffffff"/>
          <w:rtl w:val="0"/>
          <w:lang w:val="en-US"/>
        </w:rPr>
        <w:t xml:space="preserve">What we see in this Table is the percentages of patients in each group (control or treatment groups) that have a qSOFA score less than 1. This means, for example, that in the control group, 17% of the control group must have had a qSOFA score greater than 1. How much greater, we have no idea. </w:t>
      </w:r>
    </w:p>
    <w:p>
      <w:pPr>
        <w:pStyle w:val="Default"/>
        <w:spacing w:line="360" w:lineRule="auto"/>
        <w:rPr>
          <w:rStyle w:val="None"/>
          <w:rFonts w:ascii="Helvetica" w:cs="Helvetica" w:hAnsi="Helvetica" w:eastAsia="Helvetica"/>
          <w:color w:val="000000"/>
          <w:sz w:val="24"/>
          <w:szCs w:val="24"/>
          <w:u w:color="000000"/>
          <w:shd w:val="clear" w:color="auto" w:fill="ffffff"/>
        </w:rPr>
      </w:pPr>
      <w:r>
        <w:rPr>
          <w:rStyle w:val="None"/>
          <w:rFonts w:ascii="Helvetica" w:hAnsi="Helvetica"/>
          <w:color w:val="000000"/>
          <w:sz w:val="24"/>
          <w:szCs w:val="24"/>
          <w:u w:color="000000"/>
          <w:shd w:val="clear" w:color="auto" w:fill="ffffff"/>
          <w:rtl w:val="0"/>
          <w:lang w:val="en-US"/>
        </w:rPr>
        <w:t>According to the qSOFA website (</w:t>
      </w:r>
      <w:r>
        <w:rPr>
          <w:rStyle w:val="Hyperlink.0"/>
        </w:rPr>
        <w:fldChar w:fldCharType="begin" w:fldLock="0"/>
      </w:r>
      <w:r>
        <w:rPr>
          <w:rStyle w:val="Hyperlink.0"/>
        </w:rPr>
        <w:instrText xml:space="preserve"> HYPERLINK "https://qsofa.org/what.php"</w:instrText>
      </w:r>
      <w:r>
        <w:rPr>
          <w:rStyle w:val="Hyperlink.0"/>
        </w:rPr>
        <w:fldChar w:fldCharType="separate" w:fldLock="0"/>
      </w:r>
      <w:r>
        <w:rPr>
          <w:rStyle w:val="Hyperlink.0"/>
          <w:rtl w:val="0"/>
          <w:lang w:val="en-US"/>
        </w:rPr>
        <w:t>https://qsofa.org/what.php</w:t>
      </w:r>
      <w:r>
        <w:rPr/>
        <w:fldChar w:fldCharType="end" w:fldLock="0"/>
      </w:r>
      <w:r>
        <w:rPr>
          <w:rStyle w:val="None"/>
          <w:rFonts w:ascii="Helvetica" w:hAnsi="Helvetica"/>
          <w:color w:val="000000"/>
          <w:sz w:val="24"/>
          <w:szCs w:val="24"/>
          <w:u w:color="000000"/>
          <w:shd w:val="clear" w:color="auto" w:fill="ffffff"/>
          <w:rtl w:val="0"/>
          <w:lang w:val="en-US"/>
        </w:rPr>
        <w:t>),</w:t>
      </w:r>
      <w:r>
        <w:rPr>
          <w:rStyle w:val="None"/>
          <w:rFonts w:ascii="Helvetica" w:hAnsi="Helvetica" w:hint="default"/>
          <w:color w:val="000000"/>
          <w:sz w:val="24"/>
          <w:szCs w:val="24"/>
          <w:u w:color="000000"/>
          <w:shd w:val="clear" w:color="auto" w:fill="ffffff"/>
          <w:rtl w:val="0"/>
          <w:lang w:val="en-US"/>
        </w:rPr>
        <w:t>‘</w:t>
      </w:r>
      <w:r>
        <w:rPr>
          <w:rStyle w:val="None"/>
          <w:rFonts w:ascii="Helvetica" w:hAnsi="Helvetica"/>
          <w:i w:val="1"/>
          <w:iCs w:val="1"/>
          <w:color w:val="000000"/>
          <w:sz w:val="24"/>
          <w:szCs w:val="24"/>
          <w:u w:color="000000"/>
          <w:shd w:val="clear" w:color="auto" w:fill="ffffff"/>
          <w:rtl w:val="0"/>
          <w:lang w:val="en-US"/>
        </w:rPr>
        <w:t>The qSOFA score (also known as quickSOFA) is a bedside prompt that may identify patients with suspected infection who are at greater risk for a poor outcome outside the intensive care unit (ICU). It uses three criteria, assigning one point for low blood pressure (SBP</w:t>
      </w:r>
      <w:r>
        <w:rPr>
          <w:rStyle w:val="None"/>
          <w:rFonts w:ascii="Helvetica" w:hAnsi="Helvetica" w:hint="default"/>
          <w:i w:val="1"/>
          <w:iCs w:val="1"/>
          <w:color w:val="000000"/>
          <w:sz w:val="24"/>
          <w:szCs w:val="24"/>
          <w:u w:color="000000"/>
          <w:shd w:val="clear" w:color="auto" w:fill="ffffff"/>
          <w:rtl w:val="0"/>
          <w:lang w:val="en-US"/>
        </w:rPr>
        <w:t>≤</w:t>
      </w:r>
      <w:r>
        <w:rPr>
          <w:rStyle w:val="None"/>
          <w:rFonts w:ascii="Helvetica" w:hAnsi="Helvetica"/>
          <w:i w:val="1"/>
          <w:iCs w:val="1"/>
          <w:color w:val="000000"/>
          <w:sz w:val="24"/>
          <w:szCs w:val="24"/>
          <w:u w:color="000000"/>
          <w:shd w:val="clear" w:color="auto" w:fill="ffffff"/>
          <w:rtl w:val="0"/>
          <w:lang w:val="en-US"/>
        </w:rPr>
        <w:t>100 mmHg), high respiratory rate (</w:t>
      </w:r>
      <w:r>
        <w:rPr>
          <w:rStyle w:val="None"/>
          <w:rFonts w:ascii="Helvetica" w:hAnsi="Helvetica" w:hint="default"/>
          <w:i w:val="1"/>
          <w:iCs w:val="1"/>
          <w:color w:val="000000"/>
          <w:sz w:val="24"/>
          <w:szCs w:val="24"/>
          <w:u w:color="000000"/>
          <w:shd w:val="clear" w:color="auto" w:fill="ffffff"/>
          <w:rtl w:val="0"/>
          <w:lang w:val="en-US"/>
        </w:rPr>
        <w:t>≥</w:t>
      </w:r>
      <w:r>
        <w:rPr>
          <w:rStyle w:val="None"/>
          <w:rFonts w:ascii="Helvetica" w:hAnsi="Helvetica"/>
          <w:i w:val="1"/>
          <w:iCs w:val="1"/>
          <w:color w:val="000000"/>
          <w:sz w:val="24"/>
          <w:szCs w:val="24"/>
          <w:u w:color="000000"/>
          <w:shd w:val="clear" w:color="auto" w:fill="ffffff"/>
          <w:rtl w:val="0"/>
          <w:lang w:val="en-US"/>
        </w:rPr>
        <w:t>22 breaths per min), or altered mentation (Glasgow coma scale&lt;15)</w:t>
      </w:r>
      <w:r>
        <w:rPr>
          <w:rStyle w:val="None"/>
          <w:rFonts w:ascii="Helvetica" w:hAnsi="Helvetica"/>
          <w:color w:val="000000"/>
          <w:sz w:val="24"/>
          <w:szCs w:val="24"/>
          <w:u w:color="000000"/>
          <w:shd w:val="clear" w:color="auto" w:fill="ffffff"/>
          <w:rtl w:val="0"/>
          <w:lang w:val="en-US"/>
        </w:rPr>
        <w:t xml:space="preserve">. They continue,  </w:t>
      </w:r>
      <w:r>
        <w:rPr>
          <w:rStyle w:val="None"/>
          <w:rFonts w:ascii="Helvetica" w:hAnsi="Helvetica" w:hint="default"/>
          <w:color w:val="000000"/>
          <w:sz w:val="24"/>
          <w:szCs w:val="24"/>
          <w:u w:color="000000"/>
          <w:shd w:val="clear" w:color="auto" w:fill="ffffff"/>
          <w:rtl w:val="0"/>
          <w:lang w:val="en-US"/>
        </w:rPr>
        <w:t>‘</w:t>
      </w:r>
      <w:r>
        <w:rPr>
          <w:rStyle w:val="None"/>
          <w:rFonts w:ascii="Helvetica" w:hAnsi="Helvetica"/>
          <w:i w:val="1"/>
          <w:iCs w:val="1"/>
          <w:color w:val="000000"/>
          <w:sz w:val="24"/>
          <w:szCs w:val="24"/>
          <w:u w:color="000000"/>
          <w:shd w:val="clear" w:color="auto" w:fill="ffffff"/>
          <w:rtl w:val="0"/>
          <w:lang w:val="en-US"/>
        </w:rPr>
        <w:t>The score ranges from 0 to 3 points. The presence of 2 or more qSOFA points near the onset of infection was associated with a greater risk of death or prolonged intensive care unit stay</w:t>
      </w:r>
      <w:r>
        <w:rPr>
          <w:rStyle w:val="None"/>
          <w:rFonts w:ascii="Helvetica" w:hAnsi="Helvetica" w:hint="default"/>
          <w:i w:val="1"/>
          <w:iCs w:val="1"/>
          <w:color w:val="000000"/>
          <w:sz w:val="24"/>
          <w:szCs w:val="24"/>
          <w:u w:color="000000"/>
          <w:shd w:val="clear" w:color="auto" w:fill="ffffff"/>
          <w:rtl w:val="0"/>
          <w:lang w:val="en-US"/>
        </w:rPr>
        <w:t>’</w:t>
      </w:r>
      <w:r>
        <w:rPr>
          <w:rStyle w:val="None"/>
          <w:rFonts w:ascii="Helvetica" w:hAnsi="Helvetica"/>
          <w:color w:val="000000"/>
          <w:sz w:val="24"/>
          <w:szCs w:val="24"/>
          <w:u w:color="000000"/>
          <w:shd w:val="clear" w:color="auto" w:fill="ffffff"/>
          <w:rtl w:val="0"/>
          <w:lang w:val="en-US"/>
        </w:rPr>
        <w:t>.</w:t>
      </w:r>
      <w:r>
        <w:rPr>
          <w:rStyle w:val="None"/>
          <w:rFonts w:ascii="Helvetica" w:hAnsi="Helvetica" w:hint="default"/>
          <w:color w:val="000000"/>
          <w:sz w:val="24"/>
          <w:szCs w:val="24"/>
          <w:u w:color="000000"/>
          <w:shd w:val="clear" w:color="auto" w:fill="ffffff"/>
          <w:rtl w:val="0"/>
          <w:lang w:val="en-US"/>
        </w:rPr>
        <w:t> </w:t>
      </w:r>
    </w:p>
    <w:p>
      <w:pPr>
        <w:pStyle w:val="Default"/>
        <w:spacing w:line="360" w:lineRule="auto"/>
        <w:rPr>
          <w:rStyle w:val="None"/>
          <w:rFonts w:ascii="Helvetica" w:cs="Helvetica" w:hAnsi="Helvetica" w:eastAsia="Helvetica"/>
          <w:color w:val="000000"/>
          <w:sz w:val="24"/>
          <w:szCs w:val="24"/>
          <w:u w:color="000000"/>
          <w:shd w:val="clear" w:color="auto" w:fill="ffffff"/>
        </w:rPr>
      </w:pPr>
    </w:p>
    <w:p>
      <w:pPr>
        <w:pStyle w:val="Default"/>
        <w:spacing w:line="360" w:lineRule="auto"/>
        <w:rPr>
          <w:rStyle w:val="None"/>
          <w:rFonts w:ascii="Helvetica" w:cs="Helvetica" w:hAnsi="Helvetica" w:eastAsia="Helvetica"/>
          <w:color w:val="000000"/>
          <w:sz w:val="24"/>
          <w:szCs w:val="24"/>
          <w:u w:color="000000"/>
          <w:shd w:val="clear" w:color="auto" w:fill="ffffff"/>
        </w:rPr>
      </w:pPr>
      <w:r>
        <w:rPr>
          <w:rStyle w:val="None"/>
          <w:rFonts w:ascii="Helvetica" w:hAnsi="Helvetica"/>
          <w:color w:val="000000"/>
          <w:sz w:val="24"/>
          <w:szCs w:val="24"/>
          <w:u w:color="000000"/>
          <w:shd w:val="clear" w:color="auto" w:fill="ffffff"/>
          <w:rtl w:val="0"/>
          <w:lang w:val="en-US"/>
        </w:rPr>
        <w:t xml:space="preserve">Using pSOFA data from Table 1, the percentage of patients in each group with a pSOFA greater than 1 is presented in </w:t>
      </w:r>
      <w:r>
        <w:rPr>
          <w:rStyle w:val="None"/>
          <w:rFonts w:ascii="Helvetica" w:hAnsi="Helvetica"/>
          <w:color w:val="000000"/>
          <w:sz w:val="24"/>
          <w:szCs w:val="24"/>
          <w:u w:color="000000"/>
          <w:shd w:val="clear" w:color="auto" w:fill="ffffff"/>
          <w:rtl w:val="0"/>
          <w:lang w:val="en-US"/>
        </w:rPr>
        <w:t>T</w:t>
      </w:r>
      <w:r>
        <w:rPr>
          <w:rStyle w:val="None"/>
          <w:rFonts w:ascii="Helvetica" w:hAnsi="Helvetica"/>
          <w:color w:val="000000"/>
          <w:sz w:val="24"/>
          <w:szCs w:val="24"/>
          <w:u w:color="000000"/>
          <w:shd w:val="clear" w:color="auto" w:fill="ffffff"/>
          <w:rtl w:val="0"/>
          <w:lang w:val="en-US"/>
        </w:rPr>
        <w:t>able 2 (data row 2).</w:t>
      </w:r>
    </w:p>
    <w:p>
      <w:pPr>
        <w:pStyle w:val="Default"/>
        <w:spacing w:line="360" w:lineRule="auto"/>
        <w:rPr>
          <w:rStyle w:val="None"/>
          <w:rFonts w:ascii="Helvetica" w:cs="Helvetica" w:hAnsi="Helvetica" w:eastAsia="Helvetica"/>
          <w:color w:val="000000"/>
          <w:sz w:val="24"/>
          <w:szCs w:val="24"/>
          <w:u w:color="000000"/>
          <w:shd w:val="clear" w:color="auto" w:fill="ffffff"/>
        </w:rPr>
      </w:pPr>
    </w:p>
    <w:tbl>
      <w:tblPr>
        <w:tblW w:w="9632"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adfff"/>
        <w:tblLayout w:type="fixed"/>
      </w:tblPr>
      <w:tblGrid>
        <w:gridCol w:w="1605"/>
        <w:gridCol w:w="1605"/>
        <w:gridCol w:w="1606"/>
        <w:gridCol w:w="1605"/>
        <w:gridCol w:w="1605"/>
        <w:gridCol w:w="1606"/>
      </w:tblGrid>
      <w:tr>
        <w:tblPrEx>
          <w:shd w:val="clear" w:color="auto" w:fill="cadfff"/>
        </w:tblPrEx>
        <w:trPr>
          <w:trHeight w:val="484" w:hRule="atLeast"/>
        </w:trPr>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2e4e3"/>
            <w:tcMar>
              <w:top w:type="dxa" w:w="80"/>
              <w:left w:type="dxa" w:w="80"/>
              <w:bottom w:type="dxa" w:w="80"/>
              <w:right w:type="dxa" w:w="80"/>
            </w:tcMar>
            <w:vAlign w:val="top"/>
          </w:tcPr>
          <w:p>
            <w:pPr>
              <w:pStyle w:val="Table Style 1"/>
            </w:pPr>
            <w:r>
              <w:rPr>
                <w:rStyle w:val="None"/>
                <w:u w:val="single"/>
                <w:rtl w:val="0"/>
                <w:lang w:val="fr-FR"/>
              </w:rPr>
              <w:t>Table 2</w:t>
            </w:r>
          </w:p>
        </w:tc>
        <w:tc>
          <w:tcPr>
            <w:tcW w:type="dxa" w:w="1605"/>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e2e4e3"/>
            <w:tcMar>
              <w:top w:type="dxa" w:w="80"/>
              <w:left w:type="dxa" w:w="80"/>
              <w:bottom w:type="dxa" w:w="80"/>
              <w:right w:type="dxa" w:w="80"/>
            </w:tcMar>
            <w:vAlign w:val="top"/>
          </w:tcPr>
          <w:p>
            <w:pPr>
              <w:pStyle w:val="Table Style 1"/>
            </w:pPr>
            <w:r>
              <w:rPr>
                <w:rStyle w:val="None"/>
                <w:rtl w:val="0"/>
                <w:lang w:val="it-IT"/>
              </w:rPr>
              <w:t>Control</w:t>
            </w:r>
          </w:p>
        </w:tc>
        <w:tc>
          <w:tcPr>
            <w:tcW w:type="dxa" w:w="1606"/>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pPr>
            <w:r>
              <w:rPr>
                <w:rStyle w:val="None"/>
                <w:rtl w:val="0"/>
                <w:lang w:val="es-ES_tradnl"/>
              </w:rPr>
              <w:t xml:space="preserve">Chloroquine </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pPr>
            <w:r>
              <w:rPr>
                <w:rStyle w:val="None"/>
                <w:rtl w:val="0"/>
                <w:lang w:val="it-IT"/>
              </w:rPr>
              <w:t>Chloroquine + Macrolide</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pPr>
            <w:r>
              <w:rPr>
                <w:rStyle w:val="None"/>
                <w:rtl w:val="0"/>
                <w:lang w:val="fr-FR"/>
              </w:rPr>
              <w:t>HCQ</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pPr>
            <w:r>
              <w:rPr>
                <w:rStyle w:val="None"/>
                <w:rtl w:val="0"/>
                <w:lang w:val="fr-FR"/>
              </w:rPr>
              <w:t>HCQ + Macrolide</w:t>
            </w:r>
          </w:p>
        </w:tc>
      </w:tr>
      <w:tr>
        <w:tblPrEx>
          <w:shd w:val="clear" w:color="auto" w:fill="cadfff"/>
        </w:tblPrEx>
        <w:trPr>
          <w:trHeight w:val="300" w:hRule="atLeast"/>
        </w:trPr>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2e4e3"/>
            <w:tcMar>
              <w:top w:type="dxa" w:w="80"/>
              <w:left w:type="dxa" w:w="80"/>
              <w:bottom w:type="dxa" w:w="80"/>
              <w:right w:type="dxa" w:w="80"/>
            </w:tcMar>
            <w:vAlign w:val="top"/>
          </w:tcPr>
          <w:p>
            <w:pPr>
              <w:pStyle w:val="Table Style 1"/>
            </w:pPr>
            <w:r>
              <w:rPr>
                <w:rStyle w:val="None"/>
                <w:rtl w:val="0"/>
                <w:lang w:val="en-US"/>
              </w:rPr>
              <w:t>Total patients</w:t>
            </w:r>
          </w:p>
        </w:tc>
        <w:tc>
          <w:tcPr>
            <w:tcW w:type="dxa" w:w="1605"/>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e2e4e3"/>
            <w:tcMar>
              <w:top w:type="dxa" w:w="80"/>
              <w:left w:type="dxa" w:w="80"/>
              <w:bottom w:type="dxa" w:w="80"/>
              <w:right w:type="dxa" w:w="80"/>
            </w:tcMar>
            <w:vAlign w:val="top"/>
          </w:tcPr>
          <w:p>
            <w:pPr>
              <w:pStyle w:val="Body"/>
              <w:jc w:val="right"/>
            </w:pPr>
            <w:r>
              <w:rPr>
                <w:rStyle w:val="None"/>
                <w:rFonts w:ascii="Helvetica Neue" w:hAnsi="Helvetica Neue"/>
                <w:b w:val="1"/>
                <w:bCs w:val="1"/>
                <w:sz w:val="20"/>
                <w:szCs w:val="20"/>
                <w:rtl w:val="0"/>
                <w:lang w:val="en-US"/>
              </w:rPr>
              <w:t>81144</w:t>
            </w:r>
          </w:p>
        </w:tc>
        <w:tc>
          <w:tcPr>
            <w:tcW w:type="dxa" w:w="1606"/>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1869</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3783</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3016</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6221</w:t>
            </w:r>
          </w:p>
        </w:tc>
      </w:tr>
      <w:tr>
        <w:tblPrEx>
          <w:shd w:val="clear" w:color="auto" w:fill="cadfff"/>
        </w:tblPrEx>
        <w:trPr>
          <w:trHeight w:val="300" w:hRule="atLeast"/>
        </w:trPr>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2e4e3"/>
            <w:tcMar>
              <w:top w:type="dxa" w:w="80"/>
              <w:left w:type="dxa" w:w="80"/>
              <w:bottom w:type="dxa" w:w="80"/>
              <w:right w:type="dxa" w:w="80"/>
            </w:tcMar>
            <w:vAlign w:val="top"/>
          </w:tcPr>
          <w:p>
            <w:pPr>
              <w:pStyle w:val="Table Style 1"/>
            </w:pPr>
            <w:r>
              <w:rPr>
                <w:rStyle w:val="None"/>
                <w:rtl w:val="0"/>
              </w:rPr>
              <w:t xml:space="preserve">% qSOFA&gt; 1  </w:t>
            </w:r>
          </w:p>
        </w:tc>
        <w:tc>
          <w:tcPr>
            <w:tcW w:type="dxa" w:w="1605"/>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e2e4e3"/>
            <w:tcMar>
              <w:top w:type="dxa" w:w="80"/>
              <w:left w:type="dxa" w:w="80"/>
              <w:bottom w:type="dxa" w:w="80"/>
              <w:right w:type="dxa" w:w="80"/>
            </w:tcMar>
            <w:vAlign w:val="top"/>
          </w:tcPr>
          <w:p>
            <w:pPr>
              <w:pStyle w:val="Body"/>
              <w:jc w:val="right"/>
            </w:pPr>
            <w:r>
              <w:rPr>
                <w:rStyle w:val="None"/>
                <w:rFonts w:ascii="Helvetica Neue" w:hAnsi="Helvetica Neue"/>
                <w:b w:val="1"/>
                <w:bCs w:val="1"/>
                <w:sz w:val="20"/>
                <w:szCs w:val="20"/>
                <w:rtl w:val="0"/>
                <w:lang w:val="en-US"/>
              </w:rPr>
              <w:t>17.0</w:t>
            </w:r>
          </w:p>
        </w:tc>
        <w:tc>
          <w:tcPr>
            <w:tcW w:type="dxa" w:w="1606"/>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18.1</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19.3</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17.9</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19.7</w:t>
            </w:r>
          </w:p>
        </w:tc>
      </w:tr>
      <w:tr>
        <w:tblPrEx>
          <w:shd w:val="clear" w:color="auto" w:fill="cadfff"/>
        </w:tblPrEx>
        <w:trPr>
          <w:trHeight w:val="300" w:hRule="atLeast"/>
        </w:trPr>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2e4e3"/>
            <w:tcMar>
              <w:top w:type="dxa" w:w="80"/>
              <w:left w:type="dxa" w:w="80"/>
              <w:bottom w:type="dxa" w:w="80"/>
              <w:right w:type="dxa" w:w="80"/>
            </w:tcMar>
            <w:vAlign w:val="top"/>
          </w:tcPr>
          <w:p>
            <w:pPr>
              <w:pStyle w:val="Table Style 1"/>
            </w:pPr>
            <w:r>
              <w:rPr>
                <w:rStyle w:val="None"/>
                <w:rtl w:val="0"/>
              </w:rPr>
              <w:t xml:space="preserve"> Mortality            </w:t>
            </w:r>
          </w:p>
        </w:tc>
        <w:tc>
          <w:tcPr>
            <w:tcW w:type="dxa" w:w="1605"/>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e2e4e3"/>
            <w:tcMar>
              <w:top w:type="dxa" w:w="80"/>
              <w:left w:type="dxa" w:w="80"/>
              <w:bottom w:type="dxa" w:w="80"/>
              <w:right w:type="dxa" w:w="80"/>
            </w:tcMar>
            <w:vAlign w:val="top"/>
          </w:tcPr>
          <w:p>
            <w:pPr>
              <w:pStyle w:val="Body"/>
              <w:jc w:val="right"/>
            </w:pPr>
            <w:r>
              <w:rPr>
                <w:rStyle w:val="None"/>
                <w:rFonts w:ascii="Helvetica Neue" w:hAnsi="Helvetica Neue"/>
                <w:b w:val="1"/>
                <w:bCs w:val="1"/>
                <w:sz w:val="20"/>
                <w:szCs w:val="20"/>
                <w:rtl w:val="0"/>
                <w:lang w:val="en-US"/>
              </w:rPr>
              <w:t>7530</w:t>
            </w:r>
          </w:p>
        </w:tc>
        <w:tc>
          <w:tcPr>
            <w:tcW w:type="dxa" w:w="1606"/>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307</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839</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543</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1479</w:t>
            </w:r>
          </w:p>
        </w:tc>
      </w:tr>
      <w:tr>
        <w:tblPrEx>
          <w:shd w:val="clear" w:color="auto" w:fill="cadfff"/>
        </w:tblPrEx>
        <w:trPr>
          <w:trHeight w:val="1204" w:hRule="atLeast"/>
        </w:trPr>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2e4e3"/>
            <w:tcMar>
              <w:top w:type="dxa" w:w="80"/>
              <w:left w:type="dxa" w:w="80"/>
              <w:bottom w:type="dxa" w:w="80"/>
              <w:right w:type="dxa" w:w="80"/>
            </w:tcMar>
            <w:vAlign w:val="top"/>
          </w:tcPr>
          <w:p>
            <w:pPr>
              <w:pStyle w:val="Table Style 1"/>
            </w:pPr>
            <w:r>
              <w:rPr>
                <w:rStyle w:val="None"/>
                <w:rtl w:val="0"/>
                <w:lang w:val="en-US"/>
              </w:rPr>
              <w:t>Total x qSOFA =    number with more advanced disease</w:t>
            </w:r>
          </w:p>
        </w:tc>
        <w:tc>
          <w:tcPr>
            <w:tcW w:type="dxa" w:w="1605"/>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e2e4e3"/>
            <w:tcMar>
              <w:top w:type="dxa" w:w="80"/>
              <w:left w:type="dxa" w:w="80"/>
              <w:bottom w:type="dxa" w:w="80"/>
              <w:right w:type="dxa" w:w="80"/>
            </w:tcMar>
            <w:vAlign w:val="top"/>
          </w:tcPr>
          <w:p>
            <w:pPr>
              <w:pStyle w:val="Body"/>
              <w:jc w:val="right"/>
            </w:pPr>
            <w:r>
              <w:rPr>
                <w:rStyle w:val="None"/>
                <w:rFonts w:ascii="Helvetica Neue" w:hAnsi="Helvetica Neue"/>
                <w:b w:val="1"/>
                <w:bCs w:val="1"/>
                <w:sz w:val="20"/>
                <w:szCs w:val="20"/>
                <w:rtl w:val="0"/>
                <w:lang w:val="en-US"/>
              </w:rPr>
              <w:t>13795</w:t>
            </w:r>
          </w:p>
        </w:tc>
        <w:tc>
          <w:tcPr>
            <w:tcW w:type="dxa" w:w="1606"/>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338</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730</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540</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1226</w:t>
            </w:r>
          </w:p>
        </w:tc>
      </w:tr>
      <w:tr>
        <w:tblPrEx>
          <w:shd w:val="clear" w:color="auto" w:fill="cadfff"/>
        </w:tblPrEx>
        <w:trPr>
          <w:trHeight w:val="724" w:hRule="atLeast"/>
        </w:trPr>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2e4e3"/>
            <w:tcMar>
              <w:top w:type="dxa" w:w="80"/>
              <w:left w:type="dxa" w:w="80"/>
              <w:bottom w:type="dxa" w:w="80"/>
              <w:right w:type="dxa" w:w="80"/>
            </w:tcMar>
            <w:vAlign w:val="top"/>
          </w:tcPr>
          <w:p>
            <w:pPr>
              <w:pStyle w:val="Table Style 1"/>
            </w:pPr>
            <w:r>
              <w:rPr>
                <w:rStyle w:val="None"/>
                <w:rtl w:val="0"/>
                <w:lang w:val="en-US"/>
              </w:rPr>
              <w:t>No on  mechanical ventilation (%)</w:t>
            </w:r>
          </w:p>
        </w:tc>
        <w:tc>
          <w:tcPr>
            <w:tcW w:type="dxa" w:w="1605"/>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e2e4e3"/>
            <w:tcMar>
              <w:top w:type="dxa" w:w="80"/>
              <w:left w:type="dxa" w:w="80"/>
              <w:bottom w:type="dxa" w:w="80"/>
              <w:right w:type="dxa" w:w="80"/>
            </w:tcMar>
            <w:vAlign w:val="top"/>
          </w:tcPr>
          <w:p>
            <w:pPr>
              <w:pStyle w:val="Table Style 1"/>
            </w:pPr>
            <w:r>
              <w:rPr>
                <w:rStyle w:val="None"/>
                <w:rtl w:val="0"/>
              </w:rPr>
              <w:t xml:space="preserve">         6278 (7.7)</w:t>
            </w:r>
          </w:p>
        </w:tc>
        <w:tc>
          <w:tcPr>
            <w:tcW w:type="dxa" w:w="1606"/>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w:pPr>
            <w:r>
              <w:rPr>
                <w:rStyle w:val="None"/>
                <w:rtl w:val="0"/>
              </w:rPr>
              <w:t xml:space="preserve">         403 (21.6)</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w:pPr>
            <w:r>
              <w:rPr>
                <w:rStyle w:val="None"/>
                <w:rtl w:val="0"/>
              </w:rPr>
              <w:t xml:space="preserve">         814 (21.5)</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w:pPr>
            <w:r>
              <w:rPr>
                <w:rStyle w:val="None"/>
                <w:rtl w:val="0"/>
              </w:rPr>
              <w:t xml:space="preserve">         616 (20.4)</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w:pPr>
            <w:r>
              <w:rPr>
                <w:rStyle w:val="None"/>
                <w:rtl w:val="0"/>
              </w:rPr>
              <w:t xml:space="preserve">       1243 (20.0)</w:t>
            </w:r>
          </w:p>
        </w:tc>
      </w:tr>
      <w:tr>
        <w:tblPrEx>
          <w:shd w:val="clear" w:color="auto" w:fill="cadfff"/>
        </w:tblPrEx>
        <w:trPr>
          <w:trHeight w:val="964" w:hRule="atLeast"/>
        </w:trPr>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2e4e3"/>
            <w:tcMar>
              <w:top w:type="dxa" w:w="80"/>
              <w:left w:type="dxa" w:w="80"/>
              <w:bottom w:type="dxa" w:w="80"/>
              <w:right w:type="dxa" w:w="80"/>
            </w:tcMar>
            <w:vAlign w:val="top"/>
          </w:tcPr>
          <w:p>
            <w:pPr>
              <w:pStyle w:val="Table Style 1"/>
            </w:pPr>
            <w:r>
              <w:rPr>
                <w:rStyle w:val="None"/>
                <w:rtl w:val="0"/>
                <w:lang w:val="en-US"/>
              </w:rPr>
              <w:t>Excess deaths i.e. deaths not on mechanical ventilation (%)</w:t>
            </w:r>
          </w:p>
        </w:tc>
        <w:tc>
          <w:tcPr>
            <w:tcW w:type="dxa" w:w="1605"/>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e2e4e3"/>
            <w:tcMar>
              <w:top w:type="dxa" w:w="80"/>
              <w:left w:type="dxa" w:w="80"/>
              <w:bottom w:type="dxa" w:w="80"/>
              <w:right w:type="dxa" w:w="80"/>
            </w:tcMar>
            <w:vAlign w:val="top"/>
          </w:tcPr>
          <w:p>
            <w:pPr>
              <w:pStyle w:val="Table Style 1"/>
            </w:pPr>
            <w:r>
              <w:rPr>
                <w:rStyle w:val="None"/>
                <w:rtl w:val="0"/>
              </w:rPr>
              <w:t xml:space="preserve">         1252 (1.5)</w:t>
            </w:r>
          </w:p>
        </w:tc>
        <w:tc>
          <w:tcPr>
            <w:tcW w:type="dxa" w:w="1606"/>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rPr>
                <w:rStyle w:val="None"/>
              </w:rPr>
            </w:pPr>
            <w:r>
              <w:rPr>
                <w:rStyle w:val="None"/>
                <w:rtl w:val="0"/>
              </w:rPr>
              <w:t xml:space="preserve">                    -97</w:t>
            </w:r>
          </w:p>
          <w:p>
            <w:pPr>
              <w:pStyle w:val="Table Style 2"/>
              <w:bidi w:val="0"/>
              <w:ind w:left="0" w:right="0" w:firstLine="0"/>
              <w:jc w:val="left"/>
              <w:rPr>
                <w:rtl w:val="0"/>
              </w:rPr>
            </w:pPr>
            <w:r>
              <w:rPr>
                <w:rStyle w:val="None"/>
                <w:rtl w:val="0"/>
                <w:lang w:val="en-US"/>
              </w:rPr>
              <w:t>i.e. 97 survived mechanical ventilation</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pPr>
            <w:r>
              <w:rPr>
                <w:rStyle w:val="None"/>
                <w:rtl w:val="0"/>
              </w:rPr>
              <w:t xml:space="preserve">             25 (0.7) </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jc w:val="right"/>
            </w:pPr>
            <w:r>
              <w:rPr>
                <w:rStyle w:val="None"/>
                <w:rFonts w:ascii="Helvetica Neue" w:hAnsi="Helvetica Neue"/>
                <w:sz w:val="20"/>
                <w:szCs w:val="20"/>
                <w:rtl w:val="0"/>
                <w:lang w:val="en-US"/>
              </w:rPr>
              <w:t>-73</w:t>
            </w: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pPr>
            <w:r>
              <w:rPr>
                <w:rStyle w:val="None"/>
                <w:rtl w:val="0"/>
              </w:rPr>
              <w:t xml:space="preserve">           236 (3.8)</w:t>
            </w:r>
          </w:p>
        </w:tc>
      </w:tr>
      <w:tr>
        <w:tblPrEx>
          <w:shd w:val="clear" w:color="auto" w:fill="cadfff"/>
        </w:tblPrEx>
        <w:trPr>
          <w:trHeight w:val="300" w:hRule="atLeast"/>
        </w:trPr>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2e4e3"/>
            <w:tcMar>
              <w:top w:type="dxa" w:w="80"/>
              <w:left w:type="dxa" w:w="80"/>
              <w:bottom w:type="dxa" w:w="80"/>
              <w:right w:type="dxa" w:w="80"/>
            </w:tcMar>
            <w:vAlign w:val="top"/>
          </w:tcPr>
          <w:p/>
        </w:tc>
        <w:tc>
          <w:tcPr>
            <w:tcW w:type="dxa" w:w="1605"/>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e2e4e3"/>
            <w:tcMar>
              <w:top w:type="dxa" w:w="80"/>
              <w:left w:type="dxa" w:w="80"/>
              <w:bottom w:type="dxa" w:w="80"/>
              <w:right w:type="dxa" w:w="80"/>
            </w:tcMar>
            <w:vAlign w:val="top"/>
          </w:tcPr>
          <w:p/>
        </w:tc>
        <w:tc>
          <w:tcPr>
            <w:tcW w:type="dxa" w:w="1606"/>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160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3211"/>
            <w:gridSpan w:val="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w:pPr>
            <w:r>
              <w:rPr>
                <w:rStyle w:val="None"/>
                <w:rtl w:val="0"/>
              </w:rPr>
              <w:t xml:space="preserve">    HCQ, hydroxychloroquine</w:t>
            </w:r>
          </w:p>
        </w:tc>
      </w:tr>
    </w:tbl>
    <w:p>
      <w:pPr>
        <w:pStyle w:val="Default"/>
        <w:widowControl w:val="0"/>
        <w:ind w:left="108" w:hanging="108"/>
        <w:rPr>
          <w:rStyle w:val="None"/>
          <w:rFonts w:ascii="Helvetica" w:cs="Helvetica" w:hAnsi="Helvetica" w:eastAsia="Helvetica"/>
          <w:color w:val="000000"/>
          <w:sz w:val="24"/>
          <w:szCs w:val="24"/>
          <w:u w:color="000000"/>
          <w:shd w:val="clear" w:color="auto" w:fill="ffffff"/>
        </w:rPr>
      </w:pPr>
    </w:p>
    <w:p>
      <w:pPr>
        <w:pStyle w:val="Default"/>
        <w:spacing w:line="360" w:lineRule="auto"/>
        <w:rPr>
          <w:rStyle w:val="None"/>
          <w:rFonts w:ascii="Helvetica" w:cs="Helvetica" w:hAnsi="Helvetica" w:eastAsia="Helvetica"/>
          <w:color w:val="000000"/>
          <w:sz w:val="24"/>
          <w:szCs w:val="24"/>
          <w:u w:color="000000"/>
          <w:shd w:val="clear" w:color="auto" w:fill="ffffff"/>
        </w:rPr>
      </w:pPr>
    </w:p>
    <w:p>
      <w:pPr>
        <w:pStyle w:val="Default"/>
        <w:spacing w:line="360" w:lineRule="auto"/>
        <w:rPr>
          <w:rStyle w:val="None"/>
          <w:rFonts w:ascii="Helvetica" w:cs="Helvetica" w:hAnsi="Helvetica" w:eastAsia="Helvetica"/>
          <w:color w:val="000000"/>
          <w:sz w:val="24"/>
          <w:szCs w:val="24"/>
          <w:u w:color="000000"/>
          <w:shd w:val="clear" w:color="auto" w:fill="ffffff"/>
        </w:rPr>
      </w:pPr>
    </w:p>
    <w:p>
      <w:pPr>
        <w:pStyle w:val="Default"/>
        <w:spacing w:line="360" w:lineRule="auto"/>
        <w:rPr>
          <w:rStyle w:val="None"/>
          <w:rFonts w:ascii="Helvetica" w:cs="Helvetica" w:hAnsi="Helvetica" w:eastAsia="Helvetica"/>
          <w:color w:val="000000"/>
          <w:sz w:val="24"/>
          <w:szCs w:val="24"/>
          <w:u w:color="000000"/>
          <w:shd w:val="clear" w:color="auto" w:fill="ffffff"/>
        </w:rPr>
      </w:pPr>
      <w:r>
        <w:rPr>
          <w:rStyle w:val="None"/>
          <w:rFonts w:ascii="Helvetica" w:hAnsi="Helvetica"/>
          <w:color w:val="000000"/>
          <w:sz w:val="24"/>
          <w:szCs w:val="24"/>
          <w:u w:color="000000"/>
          <w:shd w:val="clear" w:color="auto" w:fill="ffffff"/>
          <w:rtl w:val="0"/>
          <w:lang w:val="en-US"/>
        </w:rPr>
        <w:t>Using these percentages, the number of individuals in each group with a qSOFA score of 2 and above (meaning higher risk of patients requiring the ICU and so suggestive of more advanced disease) is calculated by multiplying the total number of patients per category, by the pSOFA &gt;1 percentages (data row 2) divided by 100. These data are presented in data row 4. We can now look at the number of patients requiring mechanical ventilation. Around 46% of the control group</w:t>
      </w:r>
      <w:r>
        <w:rPr>
          <w:rStyle w:val="None"/>
          <w:rFonts w:ascii="Helvetica" w:hAnsi="Helvetica"/>
          <w:color w:val="000000"/>
          <w:sz w:val="24"/>
          <w:szCs w:val="24"/>
          <w:u w:color="000000"/>
          <w:shd w:val="clear" w:color="auto" w:fill="ffffff"/>
          <w:rtl w:val="0"/>
          <w:lang w:val="en-US"/>
        </w:rPr>
        <w:t xml:space="preserve"> with a qSOFA score greater than 1</w:t>
      </w:r>
      <w:r>
        <w:rPr>
          <w:rStyle w:val="None"/>
          <w:rFonts w:ascii="Helvetica" w:hAnsi="Helvetica"/>
          <w:color w:val="000000"/>
          <w:sz w:val="24"/>
          <w:szCs w:val="24"/>
          <w:u w:color="000000"/>
          <w:shd w:val="clear" w:color="auto" w:fill="ffffff"/>
          <w:rtl w:val="0"/>
          <w:lang w:val="en-US"/>
        </w:rPr>
        <w:t xml:space="preserve"> were on mechanical ventilation and all of the high risk patients in the treatment groups were on mechanical ventilation. Looking at deaths, in the treatment groups, these were largely accounted for by being in the category, </w:t>
      </w:r>
      <w:r>
        <w:rPr>
          <w:rStyle w:val="None"/>
          <w:rFonts w:ascii="Helvetica" w:hAnsi="Helvetica" w:hint="default"/>
          <w:color w:val="000000"/>
          <w:sz w:val="24"/>
          <w:szCs w:val="24"/>
          <w:u w:color="000000"/>
          <w:shd w:val="clear" w:color="auto" w:fill="ffffff"/>
          <w:rtl w:val="0"/>
          <w:lang w:val="en-US"/>
        </w:rPr>
        <w:t>‘</w:t>
      </w:r>
      <w:r>
        <w:rPr>
          <w:rStyle w:val="None"/>
          <w:rFonts w:ascii="Helvetica" w:hAnsi="Helvetica"/>
          <w:color w:val="000000"/>
          <w:sz w:val="24"/>
          <w:szCs w:val="24"/>
          <w:u w:color="000000"/>
          <w:shd w:val="clear" w:color="auto" w:fill="ffffff"/>
          <w:rtl w:val="0"/>
          <w:lang w:val="en-US"/>
        </w:rPr>
        <w:t>on mechanical ventilation</w:t>
      </w:r>
      <w:r>
        <w:rPr>
          <w:rStyle w:val="None"/>
          <w:rFonts w:ascii="Helvetica" w:hAnsi="Helvetica" w:hint="default"/>
          <w:color w:val="000000"/>
          <w:sz w:val="24"/>
          <w:szCs w:val="24"/>
          <w:u w:color="000000"/>
          <w:shd w:val="clear" w:color="auto" w:fill="ffffff"/>
          <w:rtl w:val="0"/>
          <w:lang w:val="en-US"/>
        </w:rPr>
        <w:t>’</w:t>
      </w:r>
      <w:r>
        <w:rPr>
          <w:rStyle w:val="None"/>
          <w:rFonts w:ascii="Helvetica" w:hAnsi="Helvetica"/>
          <w:color w:val="000000"/>
          <w:sz w:val="24"/>
          <w:szCs w:val="24"/>
          <w:u w:color="000000"/>
          <w:shd w:val="clear" w:color="auto" w:fill="ffffff"/>
          <w:rtl w:val="0"/>
          <w:lang w:val="en-US"/>
        </w:rPr>
        <w:t>, independent of treatment status. There were excess deaths above an association with mechanical ventilation in the chloroquine and macrolide group  (0.7% of total patients for group) and also for HCQ and macrolide (3.8% of total patients for the group) and control group (1.5% of total patients in control group), however, we do not know the exact severity of their condition at the time of therapy. All we know was the qSOFA score was greater than 1.</w:t>
      </w:r>
    </w:p>
    <w:p>
      <w:pPr>
        <w:pStyle w:val="Header &amp; Footer"/>
        <w:spacing w:line="360" w:lineRule="auto"/>
      </w:pPr>
    </w:p>
    <w:p>
      <w:pPr>
        <w:pStyle w:val="Header &amp; Footer"/>
        <w:spacing w:line="360" w:lineRule="auto"/>
      </w:pPr>
      <w:r>
        <w:rPr>
          <w:rStyle w:val="None"/>
          <w:rtl w:val="0"/>
          <w:lang w:val="en-US"/>
        </w:rPr>
        <w:t xml:space="preserve">From this archival study of patients from 671 hospital in 6 continents, it is </w:t>
      </w:r>
    </w:p>
    <w:p>
      <w:pPr>
        <w:pStyle w:val="Header &amp; Footer"/>
        <w:spacing w:line="360" w:lineRule="auto"/>
      </w:pPr>
      <w:r>
        <w:rPr>
          <w:rStyle w:val="None"/>
          <w:rtl w:val="0"/>
          <w:lang w:val="en-US"/>
        </w:rPr>
        <w:t xml:space="preserve">not possible to assign any firm conclusion regarding the effect of treatment as a sole variable, independent of the use of mechanical ventilation. Indeed these data for the control group indicate that there were some deaths not accounted for </w:t>
      </w:r>
      <w:r>
        <w:rPr>
          <w:rStyle w:val="None"/>
          <w:rtl w:val="0"/>
          <w:lang w:val="en-US"/>
        </w:rPr>
        <w:t>‘</w:t>
      </w:r>
      <w:r>
        <w:rPr>
          <w:rStyle w:val="None"/>
          <w:rtl w:val="0"/>
          <w:lang w:val="en-US"/>
        </w:rPr>
        <w:t>by mechanical ventilation</w:t>
      </w:r>
      <w:r>
        <w:rPr>
          <w:rStyle w:val="None"/>
          <w:rtl w:val="0"/>
          <w:lang w:val="en-US"/>
        </w:rPr>
        <w:t>’</w:t>
      </w:r>
      <w:r>
        <w:rPr>
          <w:rStyle w:val="None"/>
          <w:rtl w:val="0"/>
          <w:lang w:val="en-US"/>
        </w:rPr>
        <w:t xml:space="preserve">. These may have been deaths of patients who unfortunately fell outside the criteria for mechanical ventilation, despite the extent of their symptoms. </w:t>
      </w:r>
    </w:p>
    <w:p>
      <w:pPr>
        <w:pStyle w:val="Header &amp; Footer"/>
        <w:spacing w:line="360" w:lineRule="auto"/>
      </w:pPr>
    </w:p>
    <w:p>
      <w:pPr>
        <w:pStyle w:val="Header &amp; Footer"/>
        <w:spacing w:line="360" w:lineRule="auto"/>
      </w:pPr>
      <w:r>
        <w:rPr>
          <w:rStyle w:val="None"/>
          <w:rtl w:val="0"/>
          <w:lang w:val="en-US"/>
        </w:rPr>
        <w:t>So we cannot conclude that chloroquine, HCQ without or with a macrolide results in worse prognosis for COVID-19. All we can conclude is that severe disease progression has accounted for the majority of deaths.</w:t>
      </w:r>
    </w:p>
    <w:p>
      <w:pPr>
        <w:pStyle w:val="Header &amp; Footer"/>
        <w:spacing w:line="360" w:lineRule="auto"/>
      </w:pPr>
    </w:p>
    <w:p>
      <w:pPr>
        <w:pStyle w:val="Header &amp; Footer"/>
        <w:spacing w:line="360" w:lineRule="auto"/>
      </w:pPr>
      <w:r>
        <w:rPr>
          <w:rStyle w:val="None"/>
          <w:rtl w:val="0"/>
          <w:lang w:val="en-US"/>
        </w:rPr>
        <w:t xml:space="preserve">We also cannot assign any significance for </w:t>
      </w:r>
      <w:r>
        <w:rPr>
          <w:rtl w:val="0"/>
        </w:rPr>
        <w:t>arrhythmia</w:t>
      </w:r>
      <w:r>
        <w:rPr>
          <w:rStyle w:val="None"/>
          <w:rtl w:val="0"/>
          <w:lang w:val="en-US"/>
        </w:rPr>
        <w:t xml:space="preserve"> in association with the treatment groups for exactly the same reasons. The QT interval was not measured and so the arrhythmia remained non-specific and most probably disease-related. </w:t>
      </w:r>
    </w:p>
    <w:p>
      <w:pPr>
        <w:pStyle w:val="Header &amp; Footer"/>
        <w:spacing w:line="360" w:lineRule="auto"/>
      </w:pPr>
    </w:p>
    <w:p>
      <w:pPr>
        <w:pStyle w:val="Header &amp; Footer"/>
        <w:spacing w:line="360" w:lineRule="auto"/>
      </w:pPr>
      <w:r>
        <w:rPr>
          <w:rStyle w:val="None"/>
          <w:rtl w:val="0"/>
          <w:lang w:val="en-US"/>
        </w:rPr>
        <w:t xml:space="preserve">From the growing number of laboratory and clinical studies, the medical profession and particularly those working in hospital setting, should take note that for HCQ to be effective, it should be administered early in the disease process. The information currently available is that HCQ blocks SARS-CoV-2 uptake by cells and by interfering with autophagy (lysosomal function), it may prevent the down-regulation of MHC-1 receptors, allowing better antiviral surveillance by cytotoxic T cells ( </w:t>
      </w:r>
      <w:r>
        <w:rPr>
          <w:rStyle w:val="Hyperlink.1"/>
        </w:rPr>
        <w:fldChar w:fldCharType="begin" w:fldLock="0"/>
      </w:r>
      <w:r>
        <w:rPr>
          <w:rStyle w:val="Hyperlink.1"/>
        </w:rPr>
        <w:instrText xml:space="preserve"> HYPERLINK "https://www.biorxiv.org/content/10.1101/2020.05.24.111823v1"</w:instrText>
      </w:r>
      <w:r>
        <w:rPr>
          <w:rStyle w:val="Hyperlink.1"/>
        </w:rPr>
        <w:fldChar w:fldCharType="separate" w:fldLock="0"/>
      </w:r>
      <w:r>
        <w:rPr>
          <w:rStyle w:val="Hyperlink.1"/>
          <w:rtl w:val="0"/>
        </w:rPr>
        <w:t>https://www.biorxiv.org/content/10.1101/2020.05.24.111823v1</w:t>
      </w:r>
      <w:r>
        <w:rPr/>
        <w:fldChar w:fldCharType="end" w:fldLock="0"/>
      </w:r>
      <w:r>
        <w:rPr>
          <w:rStyle w:val="None"/>
          <w:rtl w:val="0"/>
          <w:lang w:val="en-US"/>
        </w:rPr>
        <w:t xml:space="preserve">). It is not appropriate to use HCQ when the cytokine storm of hyperinflammation is in full flight. Here a powerful anti-inflammatory combination should be used, such as that described in the MATH+ protocol ( </w:t>
      </w:r>
      <w:r>
        <w:rPr>
          <w:rStyle w:val="Hyperlink.2"/>
        </w:rPr>
        <w:fldChar w:fldCharType="begin" w:fldLock="0"/>
      </w:r>
      <w:r>
        <w:rPr>
          <w:rStyle w:val="Hyperlink.2"/>
        </w:rPr>
        <w:instrText xml:space="preserve"> HYPERLINK "https://covid19criticalcare.com/"</w:instrText>
      </w:r>
      <w:r>
        <w:rPr>
          <w:rStyle w:val="Hyperlink.2"/>
        </w:rPr>
        <w:fldChar w:fldCharType="separate" w:fldLock="0"/>
      </w:r>
      <w:r>
        <w:rPr>
          <w:rStyle w:val="Hyperlink.2"/>
          <w:rtl w:val="0"/>
          <w:lang w:val="it-IT"/>
        </w:rPr>
        <w:t>https://covid19criticalcare.com/</w:t>
      </w:r>
      <w:r>
        <w:rPr/>
        <w:fldChar w:fldCharType="end" w:fldLock="0"/>
      </w:r>
      <w:r>
        <w:rPr>
          <w:rStyle w:val="None"/>
          <w:rtl w:val="0"/>
          <w:lang w:val="en-US"/>
        </w:rPr>
        <w:t>).</w:t>
      </w:r>
    </w:p>
    <w:p>
      <w:pPr>
        <w:pStyle w:val="Header &amp; Footer"/>
        <w:spacing w:line="360" w:lineRule="auto"/>
      </w:pPr>
    </w:p>
    <w:p>
      <w:pPr>
        <w:pStyle w:val="Header &amp; Footer"/>
        <w:spacing w:line="360" w:lineRule="auto"/>
      </w:pPr>
      <w:r>
        <w:rPr>
          <w:rStyle w:val="None"/>
          <w:rtl w:val="0"/>
          <w:lang w:val="en-US"/>
        </w:rPr>
        <w:t>Chris J. Newton Ph.D.</w:t>
      </w:r>
    </w:p>
    <w:p>
      <w:pPr>
        <w:pStyle w:val="Header &amp; Footer"/>
        <w:spacing w:line="360" w:lineRule="auto"/>
      </w:pPr>
      <w:r>
        <w:rPr>
          <w:rStyle w:val="None"/>
          <w:rtl w:val="0"/>
          <w:lang w:val="en-US"/>
        </w:rPr>
        <w:t>Director, Center for Immun</w:t>
      </w:r>
      <w:r>
        <w:rPr>
          <w:rStyle w:val="None"/>
          <w:rtl w:val="0"/>
          <w:lang w:val="en-US"/>
        </w:rPr>
        <w:t>o</w:t>
      </w:r>
      <w:r>
        <w:rPr>
          <w:rStyle w:val="None"/>
          <w:rtl w:val="0"/>
          <w:lang w:val="en-US"/>
        </w:rPr>
        <w:t>-Metabolism, Microbiome and Bio-Energetic Research (CIMMBER), UK.</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character" w:styleId="None">
    <w:name w:val="None"/>
  </w:style>
  <w:style w:type="character" w:styleId="Hyperlink.0">
    <w:name w:val="Hyperlink.0"/>
    <w:basedOn w:val="None"/>
    <w:next w:val="Hyperlink.0"/>
    <w:rPr>
      <w:color w:val="000000"/>
      <w:sz w:val="24"/>
      <w:szCs w:val="24"/>
      <w:u w:val="single" w:color="000000"/>
      <w:shd w:val="clear" w:color="auto" w:fill="ffffff"/>
    </w:rPr>
  </w:style>
  <w:style w:type="paragraph" w:styleId="Table Style 1">
    <w:name w:val="Table Style 1"/>
    <w:next w:val="Table Style 1"/>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20"/>
      <w:szCs w:val="20"/>
      <w:u w:val="none" w:color="000000"/>
      <w:vertAlign w:val="baseline"/>
      <w:lang w:val="fr-FR"/>
    </w:r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0"/>
      <w:szCs w:val="20"/>
      <w:u w:val="none" w:color="000000"/>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Hyperlink.1">
    <w:name w:val="Hyperlink.1"/>
    <w:basedOn w:val="None"/>
    <w:next w:val="Hyperlink.1"/>
    <w:rPr>
      <w:u w:val="single"/>
    </w:rPr>
  </w:style>
  <w:style w:type="character" w:styleId="Hyperlink.2">
    <w:name w:val="Hyperlink.2"/>
    <w:basedOn w:val="None"/>
    <w:next w:val="Hyperlink.2"/>
    <w:rPr>
      <w:u w:val="single"/>
      <w:lang w:val="it-IT"/>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